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Monitoring setup brief</w:t>
      </w:r>
    </w:p>
    <w:p>
      <w:pPr>
        <w:pStyle w:val="Subtitle"/>
      </w:pPr>
      <w:r>
        <w:t xml:space="preserve">Datasource Pulse | Information for a coverage and setup review</w:t>
      </w:r>
    </w:p>
    <w:p>
      <w:pPr>
        <w:pStyle w:val="Normal"/>
      </w:pPr>
      <w:r>
        <w:t xml:space="preserve">Submitting this brief does not activate monitoring or authorize paid checks. Provide what you know and mark unknown details explicitly. You do not need to complete every field to request a review.</w:t>
      </w:r>
    </w:p>
    <w:p>
      <w:pPr>
        <w:pStyle w:val="Heading1"/>
      </w:pPr>
      <w:r>
        <w:t xml:space="preserve">Keep your information safe</w:t>
      </w:r>
    </w:p>
    <w:p>
      <w:pPr>
        <w:pStyle w:val="Normal"/>
      </w:pPr>
      <w:r>
        <w:t xml:space="preserve">Do not include API keys, passwords, access tokens, cookies, signed URLs or personal customer data. Use placeholders and logical credential references only. Redact examples. Do not include customer queries or private record content. Connector identities belong in your private submission, not in public posts.</w:t>
      </w:r>
    </w:p>
    <w:p>
      <w:pPr>
        <w:pStyle w:val="Heading1"/>
      </w:pPr>
      <w:r>
        <w:t xml:space="preserve">1. Your goal</w:t>
      </w:r>
    </w:p>
    <w:p>
      <w:pPr>
        <w:pStyle w:val="Normal"/>
      </w:pPr>
      <w:r>
        <w:t xml:space="preserve">Project or team: [optional]</w:t>
      </w:r>
      <w:r>
        <w:br/>
      </w:r>
      <w:r>
        <w:t xml:space="preserve">Prepared on: [date]</w:t>
      </w:r>
      <w:r>
        <w:br/>
      </w:r>
      <w:r>
        <w:t xml:space="preserve">What should monitoring protect? [short description]</w:t>
      </w:r>
      <w:r>
        <w:br/>
      </w:r>
      <w:r>
        <w:t xml:space="preserve">Which operations are most important? [priorities]</w:t>
      </w:r>
      <w:r>
        <w:br/>
      </w:r>
      <w:r>
        <w:t xml:space="preserve">What problem or change prompted this review? [optional]</w:t>
      </w:r>
    </w:p>
    <w:p>
      <w:pPr>
        <w:pStyle w:val="Heading1"/>
      </w:pPr>
      <w:r>
        <w:t xml:space="preserve">2. Connection and operation inventory</w:t>
      </w:r>
    </w:p>
    <w:p>
      <w:pPr>
        <w:pStyle w:val="Normal"/>
      </w:pPr>
      <w:r>
        <w:t xml:space="preserve">Repeat this section for each distinct operation. Combine equivalent cases rather than creating duplicate checks.</w:t>
      </w:r>
    </w:p>
    <w:p>
      <w:pPr>
        <w:pStyle w:val="Normal"/>
      </w:pPr>
      <w:r>
        <w:t xml:space="preserve">Private identifier: [stable label]</w:t>
      </w:r>
      <w:r>
        <w:br/>
      </w:r>
      <w:r>
        <w:t xml:space="preserve">Capability and operation: [search, record retrieval, pagination, etc.]</w:t>
      </w:r>
      <w:r>
        <w:br/>
      </w:r>
      <w:r>
        <w:t xml:space="preserve">Current status: [active, disabled, planned or unknown]</w:t>
      </w:r>
      <w:r>
        <w:br/>
      </w:r>
      <w:r>
        <w:t xml:space="preserve">Endpoint or Actor identifier: [without credentials]</w:t>
      </w:r>
      <w:r>
        <w:br/>
      </w:r>
      <w:r>
        <w:t xml:space="preserve">Implementation/version reference: [if known]</w:t>
      </w:r>
      <w:r>
        <w:br/>
      </w:r>
      <w:r>
        <w:t xml:space="preserve">Authentication type and required permissions: [no secret values]</w:t>
      </w:r>
      <w:r>
        <w:br/>
      </w:r>
      <w:r>
        <w:t xml:space="preserve">Logical credential reference: [name only, not its value]</w:t>
      </w:r>
    </w:p>
    <w:p>
      <w:pPr>
        <w:pStyle w:val="Heading1"/>
      </w:pPr>
      <w:r>
        <w:t xml:space="preserve">3. A representative request</w:t>
      </w:r>
    </w:p>
    <w:p>
      <w:pPr>
        <w:pStyle w:val="Normal"/>
      </w:pPr>
      <w:r>
        <w:t xml:space="preserve">Provide a safe request template with method, path, parameters, filters and result limits. Describe asynchronous start/poll/download steps if applicable. Use a public, non-sensitive target where possible. Explain which operation it exercises and any important behavior it does not test. Mark billable or state-changing operations clearly. Do not run new tests solely to fill out this brief.</w:t>
      </w:r>
    </w:p>
    <w:p>
      <w:r>
        <w:br w:type="page"/>
      </w:r>
    </w:p>
    <w:p>
      <w:pPr>
        <w:pStyle w:val="Heading1"/>
      </w:pPr>
      <w:r>
        <w:t xml:space="preserve">4. What should the result contain?</w:t>
      </w:r>
    </w:p>
    <w:p>
      <w:pPr>
        <w:pStyle w:val="Normal"/>
      </w:pPr>
      <w:r>
        <w:t xml:space="preserve">Record location in the response: [path or description]</w:t>
      </w:r>
      <w:r>
        <w:br/>
      </w:r>
      <w:r>
        <w:t xml:space="preserve">Required fields: [name, type, meaning, units and allowed empty/null values]</w:t>
      </w:r>
      <w:r>
        <w:br/>
      </w:r>
      <w:r>
        <w:t xml:space="preserve">Optional or naturally sparse fields: [details]</w:t>
      </w:r>
      <w:r>
        <w:br/>
      </w:r>
      <w:r>
        <w:t xml:space="preserve">Identifiers and relationships: [rules]</w:t>
      </w:r>
      <w:r>
        <w:br/>
      </w:r>
      <w:r>
        <w:t xml:space="preserve">Known valid response variants: [operation or input-mode differences]</w:t>
      </w:r>
    </w:p>
    <w:p>
      <w:pPr>
        <w:pStyle w:val="Heading2"/>
      </w:pPr>
      <w:r>
        <w:t xml:space="preserve">Completeness and empty results</w:t>
      </w:r>
    </w:p>
    <w:p>
      <w:pPr>
        <w:pStyle w:val="Normal"/>
      </w:pPr>
      <w:r>
        <w:t xml:space="preserve">When is no result a legitimate outcome? How can a successful no-match response be distinguished from a broken retrieval? For a representative known-positive request, explain why usable data should exist. Describe pagination completion, truncation indicators, expected totals, record limits, duplicate handling and partial-result flags. Do not invent a universal minimum count.</w:t>
      </w:r>
    </w:p>
    <w:p>
      <w:pPr>
        <w:pStyle w:val="Heading2"/>
      </w:pPr>
      <w:r>
        <w:t xml:space="preserve">Freshness and relevance</w:t>
      </w:r>
    </w:p>
    <w:p>
      <w:pPr>
        <w:pStyle w:val="Normal"/>
      </w:pPr>
      <w:r>
        <w:t xml:space="preserve">Explain relevant timestamps, timezone and the distinction between publication, update and retrieval time. Give any justified freshness window and legitimate exceptions. Explain how to check the requested entity, topic, language, geography or date range. Separate objective checks from judgments that may require semantic evaluation.</w:t>
      </w:r>
    </w:p>
    <w:p>
      <w:pPr>
        <w:pStyle w:val="Heading2"/>
      </w:pPr>
      <w:r>
        <w:t xml:space="preserve">Known failure signals</w:t>
      </w:r>
    </w:p>
    <w:p>
      <w:pPr>
        <w:pStyle w:val="Normal"/>
      </w:pPr>
      <w:r>
        <w:t xml:space="preserve">Describe access errors, quota/rate limits, blocking challenges, login pages, embedded errors, malformed responses, missing fields, wrong types, stale data or incomplete output. Distinguish symptoms already observed from hypothetical failures.</w:t>
      </w:r>
    </w:p>
    <w:p>
      <w:pPr>
        <w:pStyle w:val="Heading2"/>
      </w:pPr>
      <w:r>
        <w:t xml:space="preserve">Existing examples and evidence</w:t>
      </w:r>
    </w:p>
    <w:p>
      <w:pPr>
        <w:pStyle w:val="Normal"/>
      </w:pPr>
      <w:r>
        <w:t xml:space="preserve">Attach or describe small redacted known-good and known-bad examples if available. Include observation date and source. Label each claim as documented, observed, inferred or unverified. Mark synthetic examples explicitly. A historical success does not establish current health.</w:t>
      </w:r>
    </w:p>
    <w:p>
      <w:r>
        <w:br w:type="page"/>
      </w:r>
    </w:p>
    <w:p>
      <w:pPr>
        <w:pStyle w:val="Heading1"/>
      </w:pPr>
      <w:r>
        <w:t xml:space="preserve">5. Timing, cost and independent access</w:t>
      </w:r>
    </w:p>
    <w:p>
      <w:pPr>
        <w:pStyle w:val="Normal"/>
      </w:pPr>
      <w:r>
        <w:t xml:space="preserve">Known queue/request/job deadlines: [units and source]</w:t>
      </w:r>
      <w:r>
        <w:br/>
      </w:r>
      <w:r>
        <w:t xml:space="preserve">Retries, backoff and cancellation: [what happens when waiting stops]</w:t>
      </w:r>
      <w:r>
        <w:br/>
      </w:r>
      <w:r>
        <w:t xml:space="preserve">Rate/concurrency limits: [if known]</w:t>
      </w:r>
      <w:r>
        <w:br/>
      </w:r>
      <w:r>
        <w:t xml:space="preserve">Polling and result-download behavior: [details]</w:t>
      </w:r>
      <w:r>
        <w:br/>
      </w:r>
      <w:r>
        <w:t xml:space="preserve">Cache behavior: [how fresh retrieval can be distinguished]</w:t>
      </w:r>
      <w:r>
        <w:br/>
      </w:r>
      <w:r>
        <w:t xml:space="preserve">Cost per representative check: [estimate/range, assumptions or unknown]</w:t>
      </w:r>
      <w:r>
        <w:br/>
      </w:r>
      <w:r>
        <w:t xml:space="preserve">Side effects and quota usage: [details]</w:t>
      </w:r>
    </w:p>
    <w:p>
      <w:pPr>
        <w:pStyle w:val="Normal"/>
      </w:pPr>
      <w:r>
        <w:t xml:space="preserve">What can be checked independently using existing read-only interfaces? Identify usable job history, output datasets or result metadata and required access. State what cannot be observed. A successful source check does not by itself establish that every downstream application or report received its intended data.</w:t>
      </w:r>
    </w:p>
    <w:p>
      <w:pPr>
        <w:pStyle w:val="Heading1"/>
      </w:pPr>
      <w:r>
        <w:t xml:space="preserve">6. Preferences for review, not activation</w:t>
      </w:r>
    </w:p>
    <w:p>
      <w:pPr>
        <w:pStyle w:val="Normal"/>
      </w:pPr>
      <w:r>
        <w:t xml:space="preserve">Desired check frequency: [preference]</w:t>
      </w:r>
      <w:r>
        <w:br/>
      </w:r>
      <w:r>
        <w:t xml:space="preserve">Monthly monitoring budget: [preference]</w:t>
      </w:r>
      <w:r>
        <w:br/>
      </w:r>
      <w:r>
        <w:t xml:space="preserve">Priority operations: [list]</w:t>
      </w:r>
      <w:r>
        <w:br/>
      </w:r>
      <w:r>
        <w:t xml:space="preserve">Incident, escalation and recovery email preferences: [details]</w:t>
      </w:r>
      <w:r>
        <w:br/>
      </w:r>
      <w:r>
        <w:t xml:space="preserve">Legitimate quiet periods or scheduled maintenance: [details]</w:t>
      </w:r>
      <w:r>
        <w:br/>
      </w:r>
      <w:r>
        <w:t xml:space="preserve">Questions or unknowns: [list]</w:t>
      </w:r>
    </w:p>
    <w:p>
      <w:pPr>
        <w:pStyle w:val="Normal"/>
      </w:pPr>
      <w:r>
        <w:t xml:space="preserve">Monitoring coverage, schedules, budgets and activation will be reviewed separately. Existing account and quota monitoring is distinct from retrieval and output-validation coverage. New or changed operations need a coverage review; do not assume additions are automatically monitored.</w:t>
      </w:r>
    </w:p>
    <w:p>
      <w:pPr>
        <w:pStyle w:val="Heading1"/>
      </w:pPr>
      <w:r>
        <w:t xml:space="preserve">Submission checklist</w:t>
      </w:r>
    </w:p>
    <w:p>
      <w:pPr>
        <w:pStyle w:val="Normal"/>
      </w:pPr>
      <w:r>
        <w:t xml:space="preserve">Confirm that secrets and personal customer data have been removed; examples are redacted; unknowns are labeled; costs are estimates rather than authorization; and the brief describes the operations you want reviewed. Submit it through Request setup review on the website, with your reply address and a short message.</w:t>
      </w:r>
    </w:p>
    <w:p>
      <w:pPr>
        <w:pStyle w:val="Normal"/>
      </w:pPr>
      <w:r>
        <w:t xml:space="preserve">The attachment is forwarded privately by email. It is not published or placed in a separate application document store. The receiving mailbox and email service retain it under their own retention policies.</w:t>
      </w:r>
    </w:p>
    <w:sectPr>
      <w:footerReference w:type="default" r:id="rIdFooter"/>
      <w:pgSz w:w="12240" w:h="15840"/>
      <w:pgMar w:top="850" w:bottom="850" w:left="950" w:right="950" w:footer="350"/>
    </w:sectPr>
  </w:body>
</w:document>
</file>

<file path=word/footer1.xml><?xml version="1.0" encoding="utf-8"?>
<w:ftr xmlns:w="http://schemas.openxmlformats.org/wordprocessingml/2006/main">
  <w:p>
    <w:pPr>
      <w:jc w:val="right"/>
    </w:pPr>
    <w:r>
      <w:rPr>
        <w:sz w:val="17"/>
      </w:rPr>
      <w:t xml:space="preserve">Datasource Pulse | Setup brief | </w:t>
    </w:r>
    <w:fldSimple w:instr="PAGE"/>
  </w:p>
</w:ftr>
</file>

<file path=word/styles.xml><?xml version="1.0" encoding="utf-8"?>
<w:styles xmlns:w="http://schemas.openxmlformats.org/wordprocessingml/2006/main">
  <w:docDefaults>
    <w:rPrDefault>
      <w:rPr>
        <w:rFonts w:ascii="Calibri" w:hAnsi="Calibri"/>
        <w:sz w:val="22"/>
        <w:color w:val="253345"/>
      </w:rPr>
    </w:rPrDefault>
    <w:pPrDefault>
      <w:pPr>
        <w:spacing w:after="110" w:line="270" w:lineRule="auto"/>
      </w:pPr>
    </w:pPrDefault>
  </w:docDefaults>
  <w:style w:type="paragraph" w:styleId="Normal">
    <w:name w:val="Normal"/>
    <w:pPr>
      <w:widowControl/>
    </w:pPr>
    <w:rPr>
      <w:sz w:val="22"/>
    </w:rPr>
  </w:style>
  <w:style w:type="paragraph" w:styleId="Title">
    <w:name w:val="Title"/>
    <w:pPr>
      <w:widowControl/>
      <w:keepNext/>
      <w:spacing w:before="150" w:after="110"/>
    </w:pPr>
    <w:rPr>
      <w:sz w:val="38"/>
      <w:b/>
    </w:rPr>
  </w:style>
  <w:style w:type="paragraph" w:styleId="Subtitle">
    <w:name w:val="Subtitle"/>
    <w:pPr>
      <w:widowControl/>
      <w:keepNext/>
      <w:spacing w:before="150" w:after="110"/>
    </w:pPr>
    <w:rPr>
      <w:sz w:val="22"/>
    </w:rPr>
  </w:style>
  <w:style w:type="paragraph" w:styleId="Heading1">
    <w:name w:val="Heading1"/>
    <w:pPr>
      <w:widowControl/>
      <w:keepNext/>
      <w:spacing w:before="150" w:after="110"/>
    </w:pPr>
    <w:rPr>
      <w:sz w:val="28"/>
      <w:b/>
    </w:rPr>
  </w:style>
  <w:style w:type="paragraph" w:styleId="Heading2">
    <w:name w:val="Heading2"/>
    <w:pPr>
      <w:widowControl/>
      <w:keepNext/>
      <w:spacing w:before="150" w:after="110"/>
    </w:pPr>
    <w:rPr>
      <w:sz w:val="24"/>
      <w:b/>
    </w:rPr>
  </w:style>
</w:styles>
</file>

<file path=word/_rels/document.xml.rels><?xml version="1.0" encoding="UTF-8"?><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s>
</file>